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xtd35vrvhy5y" w:id="0"/>
      <w:bookmarkEnd w:id="0"/>
      <w:r w:rsidDel="00000000" w:rsidR="00000000" w:rsidRPr="00000000">
        <w:rPr>
          <w:sz w:val="24"/>
          <w:szCs w:val="24"/>
          <w:rtl w:val="0"/>
        </w:rPr>
        <w:t xml:space="preserve">Text description for: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j66qjl703r9j" w:id="1"/>
      <w:bookmarkEnd w:id="1"/>
      <w:r w:rsidDel="00000000" w:rsidR="00000000" w:rsidRPr="00000000">
        <w:rPr>
          <w:rtl w:val="0"/>
        </w:rPr>
        <w:t xml:space="preserve">Highlight and explore patterns, critical features, big ideas, and relationships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Highlight key elements: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text,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graphics,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diagrams, or formulas.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Emphasise key ideas or connections: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outlines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graphic organisers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concepts maps.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Draw attention to critical features: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cues and prompts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multiple examples.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Visit the UDL consideration, “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Highlight and explore patterns, critical features, big ideas, and relationships</w:t>
        </w:r>
      </w:hyperlink>
      <w:r w:rsidDel="00000000" w:rsidR="00000000" w:rsidRPr="00000000">
        <w:rPr>
          <w:rtl w:val="0"/>
        </w:rPr>
        <w:t xml:space="preserve">” on the UDL Guidelines website to find out more.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dlguidelines.cast.org/representation/building-knowledge/patterns-fea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